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PRACTITIONER’S IMPLEMENTATION PLAYBOOK: JARGON-FREE GUIDE TO REGENERATIVE GOVERNANCE DESIGN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The Regenerative Toolkit: Moving from Theory to Action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design of governance systems that actively revitalize human, social, and ecological resources requires specific organizational functions that ensure continuous adaptation and prevent organizational capture. This playbook translates complex systemic principles—often described in specialized academic terminology—into clear, mandatory protocols for community organizers, municipal officials, and cooperative developers. The core mandate is to build structures that are inherently participatory, continuously learning, and resistant to external or internal extraction.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Jargon Buster: What the Experts Really Mean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bridge the gap between abstract theory and practical implementation, high-level theoretical concepts must be redefined by their required organizational function. The focus shifts from understanding dense vocabulary to executing essential institutional actions.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serves as the primary operational dictionary for this playbook, defining the governance function that must be embedded in the organizational structure: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Jargon Translation Table: Functional Imperatives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Academic Term (Jargon)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Plain Language Translation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Implementation Action (Protocol Focus)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Dialectical Autopoiesis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Self-Sustaining Adaptation / Continuous Learning Loops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Mandating governance rules that require regular feedback, iteration, and revision (e.g., annual governance review circles).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Operational Closure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Decision Integrity &amp; Anti-Capture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Structuring legal documents (bylaws, leases) to ensure core purpose and assets cannot be undermined or extracted by internal or external pressures.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Aufhebung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Transformative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Using structured conflict resolution protocols to turn disagreements into necessary structural improvements (e.g., conflicts trigger bylaw amendments).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Non-Extractive Finance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Commons / Patient Capital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Designing financial infrastructure that keeps capital flowing within the community and subordinates profit to long-term community need.</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bl>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successful design of a regenerative organization hinges on establishing governance rules that mandate feedback, iteration, and revision. If these systems are not explicitly included, the organization risks becoming static and rigid. Furthermore, complex academic terms like "Operational Closure" describe the practical necessity of decision integrity; if the organization’s foundational purpose is not legally protected, external market or political pressures will inevitably cause the organization to drift from its regenerative mission. Thus, the implementation task is to legally embed these protective functions into the bylaws and operating agreements.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Regenerative Mandate: Building Systems That Revitalize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Regenerative design moves beyond simple sustainability, aiming actively to revitalize communities, human and natural resources, and society as a whole.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design approach is always participatory, iterative, and tailored to the unique community and environment where it is applied.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element in modern governance design involves the use of technological systems. Contemporary regenerative implementation is made possible on a larger scale through the adoption of open-source socio-technical platforms and advanced systems utilized in fields like smart city development.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platforms facilitate essential participatory governance processes, including gathering feedback, sortition (random selection for representative committees), and participatory budgeting.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the practitioner, this necessitates treating the digital infrastructure—the communication and decision-making tools—not as mere support mechanisms but as essential structural governance components that must be democratically owned and controlled to ensure participation and prevent platform-based extraction. The systems used for decision-making must reinforce the participatory nature of the governance structure.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Phase 1: Grounding the Vision and Mapping Assets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Regenerative governance requires designs that are deeply rooted in the local context. Before any legal structure is chosen, the organizing group must establish a comprehensive understanding of the community's history, existing assets, and structural vulnerabilities.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Community History and Timeline Exercise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historical context is crucial for establishing </w:t>
      </w:r>
      <w:r w:rsidDel="00000000" w:rsidR="00000000" w:rsidRPr="00000000">
        <w:rPr>
          <w:rFonts w:ascii="Google Sans Text" w:cs="Google Sans Text" w:eastAsia="Google Sans Text" w:hAnsi="Google Sans Text"/>
          <w:b w:val="1"/>
          <w:color w:val="1b1c1d"/>
          <w:rtl w:val="0"/>
        </w:rPr>
        <w:t xml:space="preserve">Transformative Integration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Aufhebung</w:t>
      </w:r>
      <w:r w:rsidDel="00000000" w:rsidR="00000000" w:rsidRPr="00000000">
        <w:rPr>
          <w:rFonts w:ascii="Google Sans Text" w:cs="Google Sans Text" w:eastAsia="Google Sans Text" w:hAnsi="Google Sans Text"/>
          <w:color w:val="1b1c1d"/>
          <w:rtl w:val="0"/>
        </w:rPr>
        <w:t xml:space="preserve">). By mapping the community's past, practitioners can proactively identify and mitigate historical vulnerabilities, preventing the replication of past failures.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Step-by-Step Protocol: Conducting the Timeline Exercise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Preparation:</w:t>
      </w:r>
      <w:r w:rsidDel="00000000" w:rsidR="00000000" w:rsidRPr="00000000">
        <w:rPr>
          <w:rFonts w:ascii="Google Sans Text" w:cs="Google Sans Text" w:eastAsia="Google Sans Text" w:hAnsi="Google Sans Text"/>
          <w:color w:val="1b1c1d"/>
          <w:rtl w:val="0"/>
        </w:rPr>
        <w:t xml:space="preserve"> Identify significant historical periods that have impacted the community's political, economic, or social control over its assets.</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Facilitation:</w:t>
      </w:r>
      <w:r w:rsidDel="00000000" w:rsidR="00000000" w:rsidRPr="00000000">
        <w:rPr>
          <w:rFonts w:ascii="Google Sans Text" w:cs="Google Sans Text" w:eastAsia="Google Sans Text" w:hAnsi="Google Sans Text"/>
          <w:color w:val="1b1c1d"/>
          <w:rtl w:val="0"/>
        </w:rPr>
        <w:t xml:space="preserve"> Engage a diverse range of community members, including seniors, long-time residents, and students, to contribute their knowledge and perspectives to a collective, visual timeline.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Focus Areas:</w:t>
      </w:r>
      <w:r w:rsidDel="00000000" w:rsidR="00000000" w:rsidRPr="00000000">
        <w:rPr>
          <w:rFonts w:ascii="Google Sans Text" w:cs="Google Sans Text" w:eastAsia="Google Sans Text" w:hAnsi="Google Sans Text"/>
          <w:color w:val="1b1c1d"/>
          <w:rtl w:val="0"/>
        </w:rPr>
        <w:t xml:space="preserve"> The timeline should explicitly track not only moments of success and collaboration but also moments of external extraction, major land loss, industrial closures, and key internal conflicts.</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Visualization:</w:t>
      </w:r>
      <w:r w:rsidDel="00000000" w:rsidR="00000000" w:rsidRPr="00000000">
        <w:rPr>
          <w:rFonts w:ascii="Google Sans Text" w:cs="Google Sans Text" w:eastAsia="Google Sans Text" w:hAnsi="Google Sans Text"/>
          <w:color w:val="1b1c1d"/>
          <w:rtl w:val="0"/>
        </w:rPr>
        <w:t xml:space="preserve"> Utilize accessible templates, such as digital infographic platforms or large physical charts, to make the historical narrative easily accessible and engaging for all participants.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exercise yields intelligence necessary for legal drafting. If the historical record shows that the community’s land or resources were previously lost due to specific predatory financial mechanisms or vague regulatory language, these historical data points serve as the criteria for drafting highly specific </w:t>
      </w:r>
      <w:r w:rsidDel="00000000" w:rsidR="00000000" w:rsidRPr="00000000">
        <w:rPr>
          <w:rFonts w:ascii="Google Sans Text" w:cs="Google Sans Text" w:eastAsia="Google Sans Text" w:hAnsi="Google Sans Text"/>
          <w:b w:val="1"/>
          <w:color w:val="1b1c1d"/>
          <w:rtl w:val="0"/>
        </w:rPr>
        <w:t xml:space="preserve">Anti-Capture Mechanisms</w:t>
      </w:r>
      <w:r w:rsidDel="00000000" w:rsidR="00000000" w:rsidRPr="00000000">
        <w:rPr>
          <w:rFonts w:ascii="Google Sans Text" w:cs="Google Sans Text" w:eastAsia="Google Sans Text" w:hAnsi="Google Sans Text"/>
          <w:color w:val="1b1c1d"/>
          <w:rtl w:val="0"/>
        </w:rPr>
        <w:t xml:space="preserve"> in the bylaws and leases in Phase 2. The linkage between historical experience and legal drafting creates a governance system that is durable against historically proven threats.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Asset Mapping and Strengths Inventory Protocol</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Effective regenerative design begins by inventorying existing wealth—physical resources, skills, social networks, and existing capital—rather than focusing solely on deficiencies. Asset mapping is the essential starting point; it systematically identifies, describes, and sometimes visualizes a community's strengths.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Tool Usage and Implementation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practitioner must utilize data inventory worksheets and toolkits designed for prevention action planning to systematically guide the collection of information on resources and existing service arrays.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While a needs assessment follows to identify gaps and develop action steps, the priority must be on recognizing and quantifying the existing strengths and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Practitioners should utilize visualization tools, such as participatory asset mapping and opportunity maps, to geographically display these strengths.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emphasis on strengths establishes the community’s claim of control. By mapping its own assets—be they physical, intellectual, or financial—the community fundamentally shifts its position from being an object of aid (needs-based charity) to being the active steward of its own resources (strengths-based control). This structural orientation aligns directly with the mission of successful precedents, such as the Dudley Street Neighborhood Initiative (DSNI), which focuses on empowering residents to organize, plan for, create, and </w:t>
      </w:r>
      <w:r w:rsidDel="00000000" w:rsidR="00000000" w:rsidRPr="00000000">
        <w:rPr>
          <w:rFonts w:ascii="Google Sans Text" w:cs="Google Sans Text" w:eastAsia="Google Sans Text" w:hAnsi="Google Sans Text"/>
          <w:b w:val="1"/>
          <w:color w:val="1b1c1d"/>
          <w:rtl w:val="0"/>
        </w:rPr>
        <w:t xml:space="preserve">control</w:t>
      </w:r>
      <w:r w:rsidDel="00000000" w:rsidR="00000000" w:rsidRPr="00000000">
        <w:rPr>
          <w:rFonts w:ascii="Google Sans Text" w:cs="Google Sans Text" w:eastAsia="Google Sans Text" w:hAnsi="Google Sans Text"/>
          <w:color w:val="1b1c1d"/>
          <w:rtl w:val="0"/>
        </w:rPr>
        <w:t xml:space="preserve"> their neighborhood in collaboration with partners.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governance structure must, therefore, be engineered to prioritize resident control over traditional external ownership models.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Phase 2: Building the Structural Container (Legal Architecture)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legal architecture chosen is the mechanism that achieves </w:t>
      </w:r>
      <w:r w:rsidDel="00000000" w:rsidR="00000000" w:rsidRPr="00000000">
        <w:rPr>
          <w:rFonts w:ascii="Google Sans Text" w:cs="Google Sans Text" w:eastAsia="Google Sans Text" w:hAnsi="Google Sans Text"/>
          <w:b w:val="1"/>
          <w:color w:val="1b1c1d"/>
          <w:rtl w:val="0"/>
        </w:rPr>
        <w:t xml:space="preserve">Decision Integrity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Operational Closure</w:t>
      </w:r>
      <w:r w:rsidDel="00000000" w:rsidR="00000000" w:rsidRPr="00000000">
        <w:rPr>
          <w:rFonts w:ascii="Google Sans Text" w:cs="Google Sans Text" w:eastAsia="Google Sans Text" w:hAnsi="Google Sans Text"/>
          <w:color w:val="1b1c1d"/>
          <w:rtl w:val="0"/>
        </w:rPr>
        <w:t xml:space="preserve">). Without robust legal documentation, the organization's purpose and assets are vulnerable to drift and capture.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phase focuses on selecting the appropriate organizational model and drafting bylaws that legally lock in the regenerative purpose.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Choosing the Right Model: Structuring for Longevity</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structure selected (Nonprofit, Cooperative, Community Land Trust) determines the management of control, assets, and financial surplus over the long term.</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Focus on the Community Land Trust (CLT) Model</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Community Land Trust (CLT) is highly effective for regenerative governance because it legally separates ownership of the land (held in trust by a nonprofit) from ownership of the improvements (leased to residents).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separation guarantees permanent affordability and broad community access, supporting diverse uses such as affordable rental and cooperative housing, urban and rural agriculture, and conservation.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CLTs are governed by a board of community representatives, ensuring democratic control by those participating in the trust.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ground lease utilized by CLTs functions as a primary </w:t>
      </w:r>
      <w:r w:rsidDel="00000000" w:rsidR="00000000" w:rsidRPr="00000000">
        <w:rPr>
          <w:rFonts w:ascii="Google Sans Text" w:cs="Google Sans Text" w:eastAsia="Google Sans Text" w:hAnsi="Google Sans Text"/>
          <w:b w:val="1"/>
          <w:color w:val="1b1c1d"/>
          <w:rtl w:val="0"/>
        </w:rPr>
        <w:t xml:space="preserve">Anti-Capture Mechanism</w:t>
      </w:r>
      <w:r w:rsidDel="00000000" w:rsidR="00000000" w:rsidRPr="00000000">
        <w:rPr>
          <w:rFonts w:ascii="Google Sans Text" w:cs="Google Sans Text" w:eastAsia="Google Sans Text" w:hAnsi="Google Sans Text"/>
          <w:color w:val="1b1c1d"/>
          <w:rtl w:val="0"/>
        </w:rPr>
        <w:t xml:space="preserve">. In model ground leases, the Lessor (the CLT) may reserve the right to mineral or other extractive resources. However, the lease must legally require the consent of the Lessee (the resident or homeowner) for any eventual extraction that causes a "material disruption" to the Lessee’s right of use and occupancy.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provision is paramount: it legally subordinates potentially extractive economic activity to the well-being and security of the community and the environment, thereby enshrining non-extractive ethics in contract law.</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comparison below highlights the structural benefits of models designed for community benefit and asset security:</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Legal Structure Comparison for Regenerative Governance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Benefit for Regeneration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Required Founding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Anti-Capture Mechanism Example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Nonprofit 501(c)(3)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Tax-exempt status; broad mission scope; asset 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Articles of Incorporation, Detailed Bylaws.</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Clear process for removal of board members; purpose locked in articles; IRS oversight.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Community Land Trust (CLT)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Permanent land affordability and stewardship.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Bylaws, Model Ground Lease.</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Community membership control (Automatic Lessee Members)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shd w:fill="auto" w:val="clear"/>
                <w:rtl w:val="0"/>
              </w:rPr>
              <w:t xml:space="preserve">; reserved land rights (veto power over material resource extraction).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Worker Cooperative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Democratic control over labor and capital; shared surplus.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Cooperative Bylaws, Membership Agreements.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 member, one vote" rule; surplus distribution based on labor, not investment shares.</w:t>
            </w:r>
          </w:p>
        </w:tc>
      </w:tr>
    </w:tbl>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Drafting the Constitution: Essential Bylaws for Resilience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Bylaws are the legally binding operational rules that govern the high-level functioning of the nonprofit organization.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robust, "rock solid" set of bylaws is essential for avoiding board conflict, legal issues, and organizational liability.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Vague or inconsistent bylaws invite problems and organizational capture.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Protocol: Embedding Self-Sustaining Adaptation (Membership Rules)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prevent the organization from drifting away from its core constituency, the governance structure must guarantee that those who are governed automatically possess power. Model bylaws for CLTs often mandate automatic membership for all qualifying stakeholders, such as homeowners or tenants who lease land from the organization.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approach ensures that Lessee Members automatically receive regular voting rights and do not need to pay dues or meet additional requirements for general membership.</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mechanism legally binds the organization to its community base, establishing a continuous feedback loop and fulfilling the principle of </w:t>
      </w:r>
      <w:r w:rsidDel="00000000" w:rsidR="00000000" w:rsidRPr="00000000">
        <w:rPr>
          <w:rFonts w:ascii="Google Sans Text" w:cs="Google Sans Text" w:eastAsia="Google Sans Text" w:hAnsi="Google Sans Text"/>
          <w:b w:val="1"/>
          <w:color w:val="1b1c1d"/>
          <w:rtl w:val="0"/>
        </w:rPr>
        <w:t xml:space="preserve">Self-Sustaining Adaptation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Dialectical Autopoiesis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Checklist: Baseline Legal Requirements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Naming Consistency:</w:t>
      </w:r>
      <w:r w:rsidDel="00000000" w:rsidR="00000000" w:rsidRPr="00000000">
        <w:rPr>
          <w:rFonts w:ascii="Google Sans Text" w:cs="Google Sans Text" w:eastAsia="Google Sans Text" w:hAnsi="Google Sans Text"/>
          <w:color w:val="1b1c1d"/>
          <w:rtl w:val="0"/>
        </w:rPr>
        <w:t xml:space="preserve"> The corporate name in the bylaws must exactly match (to the letter, including abbreviations like "Inc.") the name stated in the articles of incorporation, or the organization risks being required by the IRS to amend the bylaws before tax-exempt status is recognized.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Financial Period:</w:t>
      </w:r>
      <w:r w:rsidDel="00000000" w:rsidR="00000000" w:rsidRPr="00000000">
        <w:rPr>
          <w:rFonts w:ascii="Google Sans Text" w:cs="Google Sans Text" w:eastAsia="Google Sans Text" w:hAnsi="Google Sans Text"/>
          <w:color w:val="1b1c1d"/>
          <w:rtl w:val="0"/>
        </w:rPr>
        <w:t xml:space="preserve"> Nonprofits seeking 501(c)(3) status must include the start and end of their annual accounting period (fiscal year) in their bylaws; for most, this is the calendar year.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Purpose Statement:</w:t>
      </w:r>
      <w:r w:rsidDel="00000000" w:rsidR="00000000" w:rsidRPr="00000000">
        <w:rPr>
          <w:rFonts w:ascii="Google Sans Text" w:cs="Google Sans Text" w:eastAsia="Google Sans Text" w:hAnsi="Google Sans Text"/>
          <w:color w:val="1b1c1d"/>
          <w:rtl w:val="0"/>
        </w:rPr>
        <w:t xml:space="preserve"> While required in the articles of incorporation, it is practical to include the corporate purposes in the bylaws so that readers do not need to reference a separate document to understand the mission.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Anti-Capture Provisions:</w:t>
      </w:r>
      <w:r w:rsidDel="00000000" w:rsidR="00000000" w:rsidRPr="00000000">
        <w:rPr>
          <w:rFonts w:ascii="Google Sans Text" w:cs="Google Sans Text" w:eastAsia="Google Sans Text" w:hAnsi="Google Sans Text"/>
          <w:color w:val="1b1c1d"/>
          <w:rtl w:val="0"/>
        </w:rPr>
        <w:t xml:space="preserve"> Bylaws must clearly determine how high-level issues, such as removing a board member, are decided.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core purpose statement must be protected by supermajority voting requirements to prevent easy alteration of the organization’s regenerative mission.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Phase 3: Financial Integrity and Non-Extractive Resource Flow</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Regenerative governance cannot rely on extractive financial models, which prioritize short-term, maximized returns. The design must incorporate financial infrastructure that is controlled by the community and subordinates profit to the long-term, collective need.</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Principles of Non-Extractive Finance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Non-extractive finance defines capital that is subordinated to the needs of people and controlled democratically by the community it serves—effectively establishing a financial commons.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common infrastructure is explicitly designed to be self-sustaining over the long haul, maintaining resources where they are needed and fostering a regenerative cycle of mutual flourishing.</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essential shift for practitioners is moving away from seeking resources through short-term charitable vehicles toward establishing a robust, permanent financial infrastructure.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infrastructure prioritizes patience and impact over maximized profit, ensuring that capital remains within the local ecosystem, thereby strengthening the organization’s </w:t>
      </w:r>
      <w:r w:rsidDel="00000000" w:rsidR="00000000" w:rsidRPr="00000000">
        <w:rPr>
          <w:rFonts w:ascii="Google Sans Text" w:cs="Google Sans Text" w:eastAsia="Google Sans Text" w:hAnsi="Google Sans Text"/>
          <w:b w:val="1"/>
          <w:color w:val="1b1c1d"/>
          <w:rtl w:val="0"/>
        </w:rPr>
        <w:t xml:space="preserve">Decision Integrity</w:t>
      </w:r>
      <w:r w:rsidDel="00000000" w:rsidR="00000000" w:rsidRPr="00000000">
        <w:rPr>
          <w:rFonts w:ascii="Google Sans Text" w:cs="Google Sans Text" w:eastAsia="Google Sans Text" w:hAnsi="Google Sans Text"/>
          <w:color w:val="1b1c1d"/>
          <w:rtl w:val="0"/>
        </w:rPr>
        <w:t xml:space="preserve"> against external financial pressures.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Sourcing and Structuring Patient Capital</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"Patient capital" is investment capital that accepts delayed returns, often measured over decades, in exchange for adherence to strict democratic, social, or environmental impact goals. The strategy for regenerative finance is to specifically source funding designed for the "long haul".</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linkage exists between financial structure and governance defense. The capacity of a community organization (such as a CLT) to enforce its legal protections—for instance, suing to defend its ground lease or stop an unauthorized asset sale—requires guaranteed, durable funding. Traditional conservation models utilize Stewardship Funding Covenants to legally earmark funds for maintenance and defense.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concept must be adapted for regenerative governance, ensuring that the bylaws or specific agreements legally dedicate a percentage of operational income (such as lease payments or membership dues) specifically to governance enforcement and long-term legal defense against organizational capture or asset erosion. This ensures that the organization always possesses the financial means to protect its </w:t>
      </w:r>
      <w:r w:rsidDel="00000000" w:rsidR="00000000" w:rsidRPr="00000000">
        <w:rPr>
          <w:rFonts w:ascii="Google Sans Text" w:cs="Google Sans Text" w:eastAsia="Google Sans Text" w:hAnsi="Google Sans Text"/>
          <w:b w:val="1"/>
          <w:color w:val="1b1c1d"/>
          <w:rtl w:val="0"/>
        </w:rPr>
        <w:t xml:space="preserve">Operational Closure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Phase 4: Sustaining the System (Conflict and Dialogue Protocols)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System resilience depends entirely on the capacity to process disruption constructively, transforming internal conflict into structural adaptation. This phase establishes formal protocols for achieving </w:t>
      </w:r>
      <w:r w:rsidDel="00000000" w:rsidR="00000000" w:rsidRPr="00000000">
        <w:rPr>
          <w:rFonts w:ascii="Google Sans Text" w:cs="Google Sans Text" w:eastAsia="Google Sans Text" w:hAnsi="Google Sans Text"/>
          <w:b w:val="1"/>
          <w:color w:val="1b1c1d"/>
          <w:rtl w:val="0"/>
        </w:rPr>
        <w:t xml:space="preserve">Transformative Integration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Aufhebung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Managing Disruption: A Seven-Step Conflict Resolution Protocol</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Conflict resolution cannot be managed reactively; it must be a defined, procedural feature of the governance structure. This structured negotiation framework prevents emotional dynamics from undermining critical decision-making.</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Structured Negotiation Protocol</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Understand the Conflict:</w:t>
      </w:r>
      <w:r w:rsidDel="00000000" w:rsidR="00000000" w:rsidRPr="00000000">
        <w:rPr>
          <w:rFonts w:ascii="Google Sans Text" w:cs="Google Sans Text" w:eastAsia="Google Sans Text" w:hAnsi="Google Sans Text"/>
          <w:color w:val="1b1c1d"/>
          <w:rtl w:val="0"/>
        </w:rPr>
        <w:t xml:space="preserve"> Systematically identify the root causes, moving beyond superficial disputes to uncover the underlying interests of all parties involved.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Communicate with the Opposition:</w:t>
      </w:r>
      <w:r w:rsidDel="00000000" w:rsidR="00000000" w:rsidRPr="00000000">
        <w:rPr>
          <w:rFonts w:ascii="Google Sans Text" w:cs="Google Sans Text" w:eastAsia="Google Sans Text" w:hAnsi="Google Sans Text"/>
          <w:color w:val="1b1c1d"/>
          <w:rtl w:val="0"/>
        </w:rPr>
        <w:t xml:space="preserve"> Establish a constructive forum. Practitioners must use active listening, speaking about their organization's needs rather than accusing the other party, and being concrete in dialogue while remaining flexible in approach.</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Brainstorm Possible Resolutions:</w:t>
      </w:r>
      <w:r w:rsidDel="00000000" w:rsidR="00000000" w:rsidRPr="00000000">
        <w:rPr>
          <w:rFonts w:ascii="Google Sans Text" w:cs="Google Sans Text" w:eastAsia="Google Sans Text" w:hAnsi="Google Sans Text"/>
          <w:color w:val="1b1c1d"/>
          <w:rtl w:val="0"/>
        </w:rPr>
        <w:t xml:space="preserve"> Collaboratively generate solutions that address the mutual interests defined in Step 1. It is vital to avoid early judgments during this creative phase.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Choose the Best Resolution:</w:t>
      </w:r>
      <w:r w:rsidDel="00000000" w:rsidR="00000000" w:rsidRPr="00000000">
        <w:rPr>
          <w:rFonts w:ascii="Google Sans Text" w:cs="Google Sans Text" w:eastAsia="Google Sans Text" w:hAnsi="Google Sans Text"/>
          <w:color w:val="1b1c1d"/>
          <w:rtl w:val="0"/>
        </w:rPr>
        <w:t xml:space="preserve"> Select the solution that offers the highest sustainable buy-in across the community. Work to find a solution for everyone involved.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Use a Third-Party Mediator:</w:t>
      </w:r>
      <w:r w:rsidDel="00000000" w:rsidR="00000000" w:rsidRPr="00000000">
        <w:rPr>
          <w:rFonts w:ascii="Google Sans Text" w:cs="Google Sans Text" w:eastAsia="Google Sans Text" w:hAnsi="Google Sans Text"/>
          <w:color w:val="1b1c1d"/>
          <w:rtl w:val="0"/>
        </w:rPr>
        <w:t xml:space="preserve"> If consensus breaks down, the structure must provide for the introduction of a neutral third party to facilitate dialogue and decision-making.</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Explore Alternatives:</w:t>
      </w:r>
      <w:r w:rsidDel="00000000" w:rsidR="00000000" w:rsidRPr="00000000">
        <w:rPr>
          <w:rFonts w:ascii="Google Sans Text" w:cs="Google Sans Text" w:eastAsia="Google Sans Text" w:hAnsi="Google Sans Text"/>
          <w:color w:val="1b1c1d"/>
          <w:rtl w:val="0"/>
        </w:rPr>
        <w:t xml:space="preserve"> Define fallback plans and alternatives (Best Alternatives to a Negotiated Agreement, or BATNA) in case the primary resolution faces insurmountable blockage.</w:t>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Cope with Stress/Pressure:</w:t>
      </w:r>
      <w:r w:rsidDel="00000000" w:rsidR="00000000" w:rsidRPr="00000000">
        <w:rPr>
          <w:rFonts w:ascii="Google Sans Text" w:cs="Google Sans Text" w:eastAsia="Google Sans Text" w:hAnsi="Google Sans Text"/>
          <w:color w:val="1b1c1d"/>
          <w:rtl w:val="0"/>
        </w:rPr>
        <w:t xml:space="preserve"> Implement organizational guidelines to protect participants from emotional and high-pressure tactics.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Practice of Restorative Dialogue (Circles)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Restorative Circles are essential for building the culture of empathy, respect, and shared power required for successful </w:t>
      </w:r>
      <w:r w:rsidDel="00000000" w:rsidR="00000000" w:rsidRPr="00000000">
        <w:rPr>
          <w:rFonts w:ascii="Google Sans Text" w:cs="Google Sans Text" w:eastAsia="Google Sans Text" w:hAnsi="Google Sans Text"/>
          <w:b w:val="1"/>
          <w:color w:val="1b1c1d"/>
          <w:rtl w:val="0"/>
        </w:rPr>
        <w:t xml:space="preserve">Transformative Integration</w:t>
      </w:r>
      <w:r w:rsidDel="00000000" w:rsidR="00000000" w:rsidRPr="00000000">
        <w:rPr>
          <w:rFonts w:ascii="Google Sans Text" w:cs="Google Sans Text" w:eastAsia="Google Sans Text" w:hAnsi="Google Sans Text"/>
          <w:color w:val="1b1c1d"/>
          <w:rtl w:val="0"/>
        </w:rPr>
        <w:t xml:space="preserve">. Circles move beyond simple negotiation by encouraging respectful communication, listening, and a consideration of the impact of behavior on others.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They provide a safe space for dialogue and sharing of power, where collective wisdom can lead to consensus decision-making.</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Protocol: Creating the Safe Space through Circle Agreements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successful circle requires clear guidelines and facilitation to ensure a safe environment for honest discussion and the expression of needs and feelings.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Key Community Agreements that must be posted and reviewed before any dialogue include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Speak your truth with respect.</w:t>
      </w:r>
    </w:p>
    <w:p w:rsidR="00000000" w:rsidDel="00000000" w:rsidP="00000000" w:rsidRDefault="00000000" w:rsidRPr="00000000" w14:paraId="0000009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Listen with your whole heart.</w:t>
      </w:r>
    </w:p>
    <w:p w:rsidR="00000000" w:rsidDel="00000000" w:rsidP="00000000" w:rsidRDefault="00000000" w:rsidRPr="00000000" w14:paraId="0000009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Up, Step Back:</w:t>
      </w:r>
      <w:r w:rsidDel="00000000" w:rsidR="00000000" w:rsidRPr="00000000">
        <w:rPr>
          <w:rFonts w:ascii="Google Sans Text" w:cs="Google Sans Text" w:eastAsia="Google Sans Text" w:hAnsi="Google Sans Text"/>
          <w:color w:val="1b1c1d"/>
          <w:rtl w:val="0"/>
        </w:rPr>
        <w:t xml:space="preserve"> Participate fully, ensuring that no single individual dominates the conversation.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9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Assume positive intent,</w:t>
      </w:r>
      <w:r w:rsidDel="00000000" w:rsidR="00000000" w:rsidRPr="00000000">
        <w:rPr>
          <w:rFonts w:ascii="Google Sans Text" w:cs="Google Sans Text" w:eastAsia="Google Sans Text" w:hAnsi="Google Sans Text"/>
          <w:color w:val="1b1c1d"/>
          <w:rtl w:val="0"/>
        </w:rPr>
        <w:t xml:space="preserve"> but focus primarily on the </w:t>
      </w:r>
      <w:r w:rsidDel="00000000" w:rsidR="00000000" w:rsidRPr="00000000">
        <w:rPr>
          <w:rFonts w:ascii="Google Sans Text" w:cs="Google Sans Text" w:eastAsia="Google Sans Text" w:hAnsi="Google Sans Text"/>
          <w:b w:val="1"/>
          <w:color w:val="1b1c1d"/>
          <w:rtl w:val="0"/>
        </w:rPr>
        <w:t xml:space="preserve">impact, not just the intent</w:t>
      </w:r>
      <w:r w:rsidDel="00000000" w:rsidR="00000000" w:rsidRPr="00000000">
        <w:rPr>
          <w:rFonts w:ascii="Google Sans Text" w:cs="Google Sans Text" w:eastAsia="Google Sans Text" w:hAnsi="Google Sans Text"/>
          <w:color w:val="1b1c1d"/>
          <w:rtl w:val="0"/>
        </w:rPr>
        <w:t xml:space="preserve"> of the action, especially when addressing harm.</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Confidentiality:</w:t>
      </w:r>
      <w:r w:rsidDel="00000000" w:rsidR="00000000" w:rsidRPr="00000000">
        <w:rPr>
          <w:rFonts w:ascii="Google Sans Text" w:cs="Google Sans Text" w:eastAsia="Google Sans Text" w:hAnsi="Google Sans Text"/>
          <w:color w:val="1b1c1d"/>
          <w:rtl w:val="0"/>
        </w:rPr>
        <w:t xml:space="preserve"> What is shared here stays here; what is learned here leaves here. This secures trust and honest participation.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combination of structured negotiation (Section 5.1) and restorative practice (Section 5.2) ensures that conflict serves as a transformative force. The circles provide the emotional healing and psychological safety needed to maintain relationships, while the procedural negotiation steps guarantee a formal, actionable outcome. Crucially, the outcome of any significant conflict must not merely be a resolved interpersonal dispute, but a triggering mechanism for structural feedback. The root cause of the conflict must feed directly back into the governance mechanism, mandating a formal review and potential revision of the specific bylaw or policy that contributed to the friction. This establishes the ultimate </w:t>
      </w:r>
      <w:r w:rsidDel="00000000" w:rsidR="00000000" w:rsidRPr="00000000">
        <w:rPr>
          <w:rFonts w:ascii="Google Sans Text" w:cs="Google Sans Text" w:eastAsia="Google Sans Text" w:hAnsi="Google Sans Text"/>
          <w:b w:val="1"/>
          <w:color w:val="1b1c1d"/>
          <w:rtl w:val="0"/>
        </w:rPr>
        <w:t xml:space="preserve">Self-Sustaining Adaptation</w:t>
      </w:r>
      <w:r w:rsidDel="00000000" w:rsidR="00000000" w:rsidRPr="00000000">
        <w:rPr>
          <w:rFonts w:ascii="Google Sans Text" w:cs="Google Sans Text" w:eastAsia="Google Sans Text" w:hAnsi="Google Sans Text"/>
          <w:color w:val="1b1c1d"/>
          <w:rtl w:val="0"/>
        </w:rPr>
        <w:t xml:space="preserve"> loop, demonstrating that the organization’s legal structure can learn and evolve from its own failures.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table below integrates these two vital aspects of conflict management, ensuring procedural integrity alongside relationship health:</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Conflict Resolution Protocol: From Tension to Transformation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Step in Conflict 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Jargon Translation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Practitioner Action &amp; 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Dialogue Tip/Structural Requirement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Understand the Conflict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Diagnostics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Define root interests and identify underlying structural flaws (not just emotional positions).</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 active listening; speak about yourself, not the opposition.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Initiate Open Communication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Safe Space Creation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 a Restorative Circle format; establish community agreements (e.g., Step Up/Step Back).</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Let everyone participate; let the other side safely release strong emotions without reacting.</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Brainstorm Resolutions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Solution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Document all options collaboratively without early judgment.</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 concrete in options, but flexible in approach.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Choose and Implement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Transformative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Select solution and legally mandate that the conflict’s cause (if structural) results in a bylaw/policy revision.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Focus on impact and repair of harm, not just intent.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System Check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Accountability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 a mediator if consensus fails; ensure the resolution is monitored for success.</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Work to find a solution for everyone, focusing on mutual sustainability.</w:t>
            </w:r>
          </w:p>
        </w:tc>
      </w:tr>
    </w:tbl>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Decision Integrity: Ensuring Collective Agreements Hold</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maintain long-term </w:t>
      </w:r>
      <w:r w:rsidDel="00000000" w:rsidR="00000000" w:rsidRPr="00000000">
        <w:rPr>
          <w:rFonts w:ascii="Google Sans Text" w:cs="Google Sans Text" w:eastAsia="Google Sans Text" w:hAnsi="Google Sans Text"/>
          <w:b w:val="1"/>
          <w:color w:val="1b1c1d"/>
          <w:rtl w:val="0"/>
        </w:rPr>
        <w:t xml:space="preserve">Decision Integrity</w:t>
      </w:r>
      <w:r w:rsidDel="00000000" w:rsidR="00000000" w:rsidRPr="00000000">
        <w:rPr>
          <w:rFonts w:ascii="Google Sans Text" w:cs="Google Sans Text" w:eastAsia="Google Sans Text" w:hAnsi="Google Sans Text"/>
          <w:color w:val="1b1c1d"/>
          <w:rtl w:val="0"/>
        </w:rPr>
        <w:t xml:space="preserve">, the governance system must include explicit mechanisms for self-monitoring and mandated iteration.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Action Tracking and Iteration Mandate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tracking the resolution of individual disputes, the governance structure requires mechanisms for tracking the overall impact of decisions. The bylaws must include a mandatory annual governance review. During this review, operational feedback and lessons learned from major conflicts, alongside aggregated data gathered through participatory platforms, are formally integrated. This process ensures that the organization does not simply follow its rules but continuously improves its capacity to govern itself, thereby guaranteeing long-term resilience and perpetual </w:t>
      </w:r>
      <w:r w:rsidDel="00000000" w:rsidR="00000000" w:rsidRPr="00000000">
        <w:rPr>
          <w:rFonts w:ascii="Google Sans Text" w:cs="Google Sans Text" w:eastAsia="Google Sans Text" w:hAnsi="Google Sans Text"/>
          <w:b w:val="1"/>
          <w:color w:val="1b1c1d"/>
          <w:rtl w:val="0"/>
        </w:rPr>
        <w:t xml:space="preserve">Self-Sustaining Adaptation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Conclusions and Recommendations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regenerative governance systems is not about adopting abstract theory but about embedding core functional requirements—Self-Sustaining Adaptation, Decision Integrity, and Transformative Integration—into the community’s legal and financial architecture.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implementation journey, as detailed in this playbook, emphasizes a progression from grounded diagnosis (Phase 1, mapping history and assets) to legal fortification (Phase 2, utilizing the CLT structure and Anti-Capture Bylaws) and finally to continuous maintenance (Phase 4, implementing structured conflict resolution).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finding in this approach is the indispensable role of the legal structure in translating ethical principles into enforceability. The Community Land Trust model, paired with a specifically tailored ground lease that includes a stewardship veto over material extraction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serves as the most robust legal container for regenerative assets. This structure, when combined with a non-extractive financial commons that subordinates profit to long-term community need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creates a system legally and financially protected from the pressures that cause organizational drift or asset capture.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durability in regenerative governance is achieved when conflict is legally mandated to trigger structural improvement. By linking the successful resolution of disputes (achieved through Restorative Circles and structured negotiation) to required amendments in the organization’s bylaws, the system transforms disruption from a threat into a vital mechanism for evolution. Practitioners must prioritize the establishment of these self-correcting mechanisms to ensure the governance system remains perpetually accountable to its regenerative mandate.</w:t>
      </w:r>
    </w:p>
    <w:p w:rsidR="00000000" w:rsidDel="00000000" w:rsidP="00000000" w:rsidRDefault="00000000" w:rsidRPr="00000000" w14:paraId="000000C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GBE Regenerative Jargon Buster Theme - Green Building ..., accessed on October 11, 2025, </w:t>
      </w:r>
      <w:hyperlink r:id="rId6">
        <w:r w:rsidDel="00000000" w:rsidR="00000000" w:rsidRPr="00000000">
          <w:rPr>
            <w:rFonts w:ascii="Google Sans" w:cs="Google Sans" w:eastAsia="Google Sans" w:hAnsi="Google Sans"/>
            <w:color w:val="0000ee"/>
            <w:sz w:val="24"/>
            <w:szCs w:val="24"/>
            <w:u w:val="single"/>
            <w:rtl w:val="0"/>
          </w:rPr>
          <w:t xml:space="preserve">https://greenbuildingencyclopaedia.uk/encyclopaedia/code/jargon-buster/themes/gbe-regenerative-jargon-buster-theme/</w:t>
        </w:r>
      </w:hyperlink>
      <w:r w:rsidDel="00000000" w:rsidR="00000000" w:rsidRPr="00000000">
        <w:rPr>
          <w:rtl w:val="0"/>
        </w:rPr>
      </w:r>
    </w:p>
    <w:p w:rsidR="00000000" w:rsidDel="00000000" w:rsidP="00000000" w:rsidRDefault="00000000" w:rsidRPr="00000000" w14:paraId="000000C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Nonprofit Bylaws Basics | What to Include &amp; Common Mistakes - Charitable Allies, accessed on October 11, 2025, </w:t>
      </w:r>
      <w:hyperlink r:id="rId7">
        <w:r w:rsidDel="00000000" w:rsidR="00000000" w:rsidRPr="00000000">
          <w:rPr>
            <w:rFonts w:ascii="Google Sans" w:cs="Google Sans" w:eastAsia="Google Sans" w:hAnsi="Google Sans"/>
            <w:color w:val="0000ee"/>
            <w:sz w:val="24"/>
            <w:szCs w:val="24"/>
            <w:u w:val="single"/>
            <w:rtl w:val="0"/>
          </w:rPr>
          <w:t xml:space="preserve">https://charitableallies.org/nonprofit-bylaws-basics/</w:t>
        </w:r>
      </w:hyperlink>
      <w:r w:rsidDel="00000000" w:rsidR="00000000" w:rsidRPr="00000000">
        <w:rPr>
          <w:rtl w:val="0"/>
        </w:rPr>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12: Revised Model CLT Ground Lease - United Diversity Library, accessed on October 11, 2025, </w:t>
      </w:r>
      <w:hyperlink r:id="rId8">
        <w:r w:rsidDel="00000000" w:rsidR="00000000" w:rsidRPr="00000000">
          <w:rPr>
            <w:rFonts w:ascii="Google Sans" w:cs="Google Sans" w:eastAsia="Google Sans" w:hAnsi="Google Sans"/>
            <w:color w:val="0000ee"/>
            <w:sz w:val="24"/>
            <w:szCs w:val="24"/>
            <w:u w:val="single"/>
            <w:rtl w:val="0"/>
          </w:rPr>
          <w:t xml:space="preserve">https://library.uniteddiversity.coop/Community_Land_Trusts/ICE_Model_Ground_Lease-2002.pdf</w:t>
        </w:r>
      </w:hyperlink>
      <w:r w:rsidDel="00000000" w:rsidR="00000000" w:rsidRPr="00000000">
        <w:rPr>
          <w:rtl w:val="0"/>
        </w:rPr>
      </w:r>
    </w:p>
    <w:p w:rsidR="00000000" w:rsidDel="00000000" w:rsidP="00000000" w:rsidRDefault="00000000" w:rsidRPr="00000000" w14:paraId="000000C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Section 6. Training for Conflict Resolution - Community Tool Box, accessed on October 11, 2025, </w:t>
      </w:r>
      <w:hyperlink r:id="rId9">
        <w:r w:rsidDel="00000000" w:rsidR="00000000" w:rsidRPr="00000000">
          <w:rPr>
            <w:rFonts w:ascii="Google Sans" w:cs="Google Sans" w:eastAsia="Google Sans" w:hAnsi="Google Sans"/>
            <w:color w:val="0000ee"/>
            <w:sz w:val="24"/>
            <w:szCs w:val="24"/>
            <w:u w:val="single"/>
            <w:rtl w:val="0"/>
          </w:rPr>
          <w:t xml:space="preserve">https://ctb.ku.edu/en/table-of-contents/implement/provide-information-enhance-skills/conflict-resolution/main</w:t>
        </w:r>
      </w:hyperlink>
      <w:r w:rsidDel="00000000" w:rsidR="00000000" w:rsidRPr="00000000">
        <w:rPr>
          <w:rtl w:val="0"/>
        </w:rPr>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Practice Guidance - Using Restorative Circles - Procedures Online, accessed on October 11, 2025, </w:t>
      </w:r>
      <w:hyperlink r:id="rId10">
        <w:r w:rsidDel="00000000" w:rsidR="00000000" w:rsidRPr="00000000">
          <w:rPr>
            <w:rFonts w:ascii="Google Sans" w:cs="Google Sans" w:eastAsia="Google Sans" w:hAnsi="Google Sans"/>
            <w:color w:val="0000ee"/>
            <w:sz w:val="24"/>
            <w:szCs w:val="24"/>
            <w:u w:val="single"/>
            <w:rtl w:val="0"/>
          </w:rPr>
          <w:t xml:space="preserve">https://proceduresonline.com/trixcms1/media/9641/restorative-circles-practice-guidance.pdf</w:t>
        </w:r>
      </w:hyperlink>
      <w:r w:rsidDel="00000000" w:rsidR="00000000" w:rsidRPr="00000000">
        <w:rPr>
          <w:rtl w:val="0"/>
        </w:rPr>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Non-extractive finance - Seed Commons, accessed on October 11, 2025, </w:t>
      </w:r>
      <w:hyperlink r:id="rId11">
        <w:r w:rsidDel="00000000" w:rsidR="00000000" w:rsidRPr="00000000">
          <w:rPr>
            <w:rFonts w:ascii="Google Sans" w:cs="Google Sans" w:eastAsia="Google Sans" w:hAnsi="Google Sans"/>
            <w:color w:val="0000ee"/>
            <w:sz w:val="24"/>
            <w:szCs w:val="24"/>
            <w:u w:val="single"/>
            <w:rtl w:val="0"/>
          </w:rPr>
          <w:t xml:space="preserve">https://seedcommons.org/projects/non-extractive-finance</w:t>
        </w:r>
      </w:hyperlink>
      <w:r w:rsidDel="00000000" w:rsidR="00000000" w:rsidRPr="00000000">
        <w:rPr>
          <w:rtl w:val="0"/>
        </w:rPr>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Community Timeline - TPT, accessed on October 11, 2025, </w:t>
      </w:r>
      <w:hyperlink r:id="rId12">
        <w:r w:rsidDel="00000000" w:rsidR="00000000" w:rsidRPr="00000000">
          <w:rPr>
            <w:rFonts w:ascii="Google Sans" w:cs="Google Sans" w:eastAsia="Google Sans" w:hAnsi="Google Sans"/>
            <w:color w:val="0000ee"/>
            <w:sz w:val="24"/>
            <w:szCs w:val="24"/>
            <w:u w:val="single"/>
            <w:rtl w:val="0"/>
          </w:rPr>
          <w:t xml:space="preserve">https://www.teacherspayteachers.com/browse?search=community%20timeline</w:t>
        </w:r>
      </w:hyperlink>
      <w:r w:rsidDel="00000000" w:rsidR="00000000" w:rsidRPr="00000000">
        <w:rPr>
          <w:rtl w:val="0"/>
        </w:rPr>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custom printable timeline infographic templates - Canva, accessed on October 11, 2025, </w:t>
      </w:r>
      <w:hyperlink r:id="rId13">
        <w:r w:rsidDel="00000000" w:rsidR="00000000" w:rsidRPr="00000000">
          <w:rPr>
            <w:rFonts w:ascii="Google Sans" w:cs="Google Sans" w:eastAsia="Google Sans" w:hAnsi="Google Sans"/>
            <w:color w:val="0000ee"/>
            <w:sz w:val="24"/>
            <w:szCs w:val="24"/>
            <w:u w:val="single"/>
            <w:rtl w:val="0"/>
          </w:rPr>
          <w:t xml:space="preserve">https://www.canva.com/infographics/templates/timeline/</w:t>
        </w:r>
      </w:hyperlink>
      <w:r w:rsidDel="00000000" w:rsidR="00000000" w:rsidRPr="00000000">
        <w:rPr>
          <w:rtl w:val="0"/>
        </w:rPr>
      </w:r>
    </w:p>
    <w:p w:rsidR="00000000" w:rsidDel="00000000" w:rsidP="00000000" w:rsidRDefault="00000000" w:rsidRPr="00000000" w14:paraId="000000C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Asset Mapping / Strength and Needs Assessment (Toolkit), accessed on October 11, 2025, </w:t>
      </w:r>
      <w:hyperlink r:id="rId14">
        <w:r w:rsidDel="00000000" w:rsidR="00000000" w:rsidRPr="00000000">
          <w:rPr>
            <w:rFonts w:ascii="Google Sans" w:cs="Google Sans" w:eastAsia="Google Sans" w:hAnsi="Google Sans"/>
            <w:color w:val="0000ee"/>
            <w:sz w:val="24"/>
            <w:szCs w:val="24"/>
            <w:u w:val="single"/>
            <w:rtl w:val="0"/>
          </w:rPr>
          <w:t xml:space="preserve">https://www.cdss.ca.gov/inforesources/cdss-programs/ffpsa-part-iv/asset-mapping-strength-and-needs-assessment-toolkit</w:t>
        </w:r>
      </w:hyperlink>
      <w:r w:rsidDel="00000000" w:rsidR="00000000" w:rsidRPr="00000000">
        <w:rPr>
          <w:rtl w:val="0"/>
        </w:rPr>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DSNI, accessed on October 11, 2025, </w:t>
      </w:r>
      <w:hyperlink r:id="rId15">
        <w:r w:rsidDel="00000000" w:rsidR="00000000" w:rsidRPr="00000000">
          <w:rPr>
            <w:rFonts w:ascii="Google Sans" w:cs="Google Sans" w:eastAsia="Google Sans" w:hAnsi="Google Sans"/>
            <w:color w:val="0000ee"/>
            <w:sz w:val="24"/>
            <w:szCs w:val="24"/>
            <w:u w:val="single"/>
            <w:rtl w:val="0"/>
          </w:rPr>
          <w:t xml:space="preserve">https://www.dsni.org/</w:t>
        </w:r>
      </w:hyperlink>
      <w:r w:rsidDel="00000000" w:rsidR="00000000" w:rsidRPr="00000000">
        <w:rPr>
          <w:rtl w:val="0"/>
        </w:rPr>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Community Land Trusts 101 A Beginner's Guide - YouTube, accessed on October 11,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https://www.youtube.com/watch?v=FZ0KYFVh2Q4</w:t>
        </w:r>
      </w:hyperlink>
      <w:r w:rsidDel="00000000" w:rsidR="00000000" w:rsidRPr="00000000">
        <w:rPr>
          <w:rtl w:val="0"/>
        </w:rPr>
      </w:r>
    </w:p>
    <w:p w:rsidR="00000000" w:rsidDel="00000000" w:rsidP="00000000" w:rsidRDefault="00000000" w:rsidRPr="00000000" w14:paraId="000000D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Classic CLT Bylaws Commentary - Grounded Solutions Network, accessed on October 11, 2025, </w:t>
      </w:r>
      <w:hyperlink r:id="rId17">
        <w:r w:rsidDel="00000000" w:rsidR="00000000" w:rsidRPr="00000000">
          <w:rPr>
            <w:rFonts w:ascii="Google Sans" w:cs="Google Sans" w:eastAsia="Google Sans" w:hAnsi="Google Sans"/>
            <w:color w:val="0000ee"/>
            <w:sz w:val="24"/>
            <w:szCs w:val="24"/>
            <w:u w:val="single"/>
            <w:rtl w:val="0"/>
          </w:rPr>
          <w:t xml:space="preserve">https://groundedsolutions.org/wp-content/uploads/2018-11/5-B-Model-Classic-Bylaws-Commentary.pdf</w:t>
        </w:r>
      </w:hyperlink>
      <w:r w:rsidDel="00000000" w:rsidR="00000000" w:rsidRPr="00000000">
        <w:rPr>
          <w:rtl w:val="0"/>
        </w:rPr>
      </w:r>
    </w:p>
    <w:p w:rsidR="00000000" w:rsidDel="00000000" w:rsidP="00000000" w:rsidRDefault="00000000" w:rsidRPr="00000000" w14:paraId="000000D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Stewardship Funding Covenant with Commentary - WeConservePA Library, accessed on October 11, 2025, </w:t>
      </w:r>
      <w:hyperlink r:id="rId18">
        <w:r w:rsidDel="00000000" w:rsidR="00000000" w:rsidRPr="00000000">
          <w:rPr>
            <w:rFonts w:ascii="Google Sans" w:cs="Google Sans" w:eastAsia="Google Sans" w:hAnsi="Google Sans"/>
            <w:color w:val="0000ee"/>
            <w:sz w:val="24"/>
            <w:szCs w:val="24"/>
            <w:u w:val="single"/>
            <w:rtl w:val="0"/>
          </w:rPr>
          <w:t xml:space="preserve">https://library.weconservepa.org/library_items/753-Model-Stewardship-Funding-Covenant-with-Commentary</w:t>
        </w:r>
      </w:hyperlink>
      <w:r w:rsidDel="00000000" w:rsidR="00000000" w:rsidRPr="00000000">
        <w:rPr>
          <w:rtl w:val="0"/>
        </w:rPr>
      </w:r>
    </w:p>
    <w:p w:rsidR="00000000" w:rsidDel="00000000" w:rsidP="00000000" w:rsidRDefault="00000000" w:rsidRPr="00000000" w14:paraId="000000D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Conflict Resolution - University of Chicago Education Lab, accessed on October 11, 2025, </w:t>
      </w:r>
      <w:hyperlink r:id="rId19">
        <w:r w:rsidDel="00000000" w:rsidR="00000000" w:rsidRPr="00000000">
          <w:rPr>
            <w:rFonts w:ascii="Google Sans" w:cs="Google Sans" w:eastAsia="Google Sans" w:hAnsi="Google Sans"/>
            <w:color w:val="0000ee"/>
            <w:sz w:val="24"/>
            <w:szCs w:val="24"/>
            <w:u w:val="single"/>
            <w:rtl w:val="0"/>
          </w:rPr>
          <w:t xml:space="preserve">https://educationlab.uchicago.edu/curriculum/conflict-resolution-2/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seedcommons.org/projects/non-extractive-finance" TargetMode="External"/><Relationship Id="rId10" Type="http://schemas.openxmlformats.org/officeDocument/2006/relationships/hyperlink" Target="https://proceduresonline.com/trixcms1/media/9641/restorative-circles-practice-guidance.pdf" TargetMode="External"/><Relationship Id="rId13" Type="http://schemas.openxmlformats.org/officeDocument/2006/relationships/hyperlink" Target="https://www.canva.com/infographics/templates/timeline/" TargetMode="External"/><Relationship Id="rId12" Type="http://schemas.openxmlformats.org/officeDocument/2006/relationships/hyperlink" Target="https://www.teacherspayteachers.com/browse?search=community+timelin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tb.ku.edu/en/table-of-contents/implement/provide-information-enhance-skills/conflict-resolution/main" TargetMode="External"/><Relationship Id="rId15" Type="http://schemas.openxmlformats.org/officeDocument/2006/relationships/hyperlink" Target="https://www.dsni.org/" TargetMode="External"/><Relationship Id="rId14" Type="http://schemas.openxmlformats.org/officeDocument/2006/relationships/hyperlink" Target="https://www.cdss.ca.gov/inforesources/cdss-programs/ffpsa-part-iv/asset-mapping-strength-and-needs-assessment-toolkit" TargetMode="External"/><Relationship Id="rId17" Type="http://schemas.openxmlformats.org/officeDocument/2006/relationships/hyperlink" Target="https://groundedsolutions.org/wp-content/uploads/2018-11/5-B-Model-Classic-Bylaws-Commentary.pdf" TargetMode="External"/><Relationship Id="rId16" Type="http://schemas.openxmlformats.org/officeDocument/2006/relationships/hyperlink" Target="https://www.youtube.com/watch?v=FZ0KYFVh2Q4" TargetMode="External"/><Relationship Id="rId5" Type="http://schemas.openxmlformats.org/officeDocument/2006/relationships/styles" Target="styles.xml"/><Relationship Id="rId19" Type="http://schemas.openxmlformats.org/officeDocument/2006/relationships/hyperlink" Target="https://educationlab.uchicago.edu/curriculum/conflict-resolution-2/" TargetMode="External"/><Relationship Id="rId6" Type="http://schemas.openxmlformats.org/officeDocument/2006/relationships/hyperlink" Target="https://greenbuildingencyclopaedia.uk/encyclopaedia/code/jargon-buster/themes/gbe-regenerative-jargon-buster-theme/" TargetMode="External"/><Relationship Id="rId18" Type="http://schemas.openxmlformats.org/officeDocument/2006/relationships/hyperlink" Target="https://library.weconservepa.org/library_items/753-Model-Stewardship-Funding-Covenant-with-Commentary" TargetMode="External"/><Relationship Id="rId7" Type="http://schemas.openxmlformats.org/officeDocument/2006/relationships/hyperlink" Target="https://charitableallies.org/nonprofit-bylaws-basics/" TargetMode="External"/><Relationship Id="rId8" Type="http://schemas.openxmlformats.org/officeDocument/2006/relationships/hyperlink" Target="https://library.uniteddiversity.coop/Community_Land_Trusts/ICE_Model_Ground_Lease-2002.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